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
        <w:spacing w:before="120"/>
        <w:jc w:val="center"/>
        <w:rPr>
          <w:rFonts w:cs="Times New Roman"/>
          <w:b/>
          <w:sz w:val="32"/>
          <w:szCs w:val="32"/>
          <w:lang w:val="cs-CZ"/>
        </w:rPr>
      </w:pPr>
      <w:r>
        <w:rPr>
          <w:rFonts w:cs="Times New Roman"/>
          <w:b/>
          <w:sz w:val="32"/>
          <w:szCs w:val="32"/>
          <w:lang w:val="cs-CZ"/>
        </w:rPr>
        <w:t>Společenská smlouva</w:t>
      </w:r>
    </w:p>
    <w:p>
      <w:pPr>
        <w:pStyle w:val="Standard"/>
        <w:spacing w:before="120"/>
        <w:jc w:val="center"/>
        <w:rPr>
          <w:rFonts w:ascii="Garamond" w:hAnsi="Garamond" w:cs="Arial"/>
          <w:b/>
          <w:sz w:val="36"/>
          <w:szCs w:val="36"/>
          <w:lang w:val="cs-CZ"/>
        </w:rPr>
      </w:pPr>
    </w:p>
    <w:p>
      <w:pPr>
        <w:spacing w:line="360" w:lineRule="auto"/>
        <w:jc w:val="center"/>
        <w:rPr>
          <w:b/>
          <w:bCs/>
        </w:rPr>
      </w:pPr>
      <w:r>
        <w:rPr>
          <w:b/>
          <w:bCs/>
        </w:rPr>
        <w:t>I. Obchodní firma</w:t>
      </w:r>
    </w:p>
    <w:p>
      <w:pPr>
        <w:spacing w:line="360" w:lineRule="auto"/>
        <w:jc w:val="both"/>
      </w:pPr>
      <w:r>
        <w:t xml:space="preserve">Obchodní firma společnosti zní: </w:t>
      </w:r>
      <w:r>
        <w:rPr>
          <w:b/>
          <w:i/>
          <w:iCs/>
        </w:rPr>
        <w:t>Obchodní firma s.r.o.</w:t>
      </w:r>
    </w:p>
    <w:p>
      <w:pPr>
        <w:spacing w:line="360" w:lineRule="auto"/>
        <w:jc w:val="both"/>
        <w:rPr>
          <w:b/>
          <w:bCs/>
        </w:rPr>
      </w:pPr>
    </w:p>
    <w:p>
      <w:pPr>
        <w:spacing w:line="360" w:lineRule="auto"/>
        <w:jc w:val="center"/>
        <w:rPr>
          <w:b/>
          <w:bCs/>
        </w:rPr>
      </w:pPr>
      <w:r>
        <w:rPr>
          <w:b/>
          <w:bCs/>
        </w:rPr>
        <w:t>II.</w:t>
      </w:r>
      <w:r>
        <w:t xml:space="preserve"> </w:t>
      </w:r>
      <w:r>
        <w:rPr>
          <w:b/>
          <w:bCs/>
        </w:rPr>
        <w:t>Společníci</w:t>
      </w:r>
    </w:p>
    <w:p>
      <w:pPr>
        <w:spacing w:line="360" w:lineRule="auto"/>
        <w:jc w:val="both"/>
      </w:pPr>
      <w:r>
        <w:t>Společníky společnosti jsou:</w:t>
      </w:r>
    </w:p>
    <w:p>
      <w:pPr>
        <w:spacing w:line="360" w:lineRule="auto"/>
        <w:jc w:val="both"/>
      </w:pPr>
      <w:r>
        <w:t xml:space="preserve">1. </w:t>
      </w:r>
      <w:bookmarkStart w:id="0" w:name="_Hlk125019728"/>
      <w:r>
        <w:rPr>
          <w:b/>
          <w:bCs/>
          <w:i/>
          <w:iCs/>
        </w:rPr>
        <w:t>Jméno Příjmení</w:t>
      </w:r>
      <w:r>
        <w:t xml:space="preserve">, narozený </w:t>
      </w:r>
      <w:r>
        <w:rPr>
          <w:i/>
          <w:iCs/>
        </w:rPr>
        <w:t>01.01.2000</w:t>
      </w:r>
      <w:r>
        <w:t xml:space="preserve">, bydliště </w:t>
      </w:r>
      <w:bookmarkEnd w:id="0"/>
      <w:r>
        <w:rPr>
          <w:i/>
          <w:iCs/>
        </w:rPr>
        <w:t>Ulice 123, Město</w:t>
      </w:r>
      <w:r>
        <w:t>.</w:t>
      </w:r>
    </w:p>
    <w:p>
      <w:pPr>
        <w:spacing w:line="360" w:lineRule="auto"/>
        <w:jc w:val="both"/>
      </w:pPr>
      <w:r>
        <w:t xml:space="preserve">2. </w:t>
      </w:r>
      <w:r>
        <w:rPr>
          <w:b/>
          <w:bCs/>
          <w:i/>
          <w:iCs/>
        </w:rPr>
        <w:t>Název</w:t>
      </w:r>
      <w:r>
        <w:t xml:space="preserve">, IČ: </w:t>
      </w:r>
      <w:r>
        <w:rPr>
          <w:i/>
          <w:iCs/>
        </w:rPr>
        <w:t>123456789</w:t>
      </w:r>
      <w:r>
        <w:t xml:space="preserve">, se sídlem </w:t>
      </w:r>
      <w:r>
        <w:rPr>
          <w:i/>
          <w:iCs/>
        </w:rPr>
        <w:t>Ulice 123, Město</w:t>
      </w:r>
      <w:r>
        <w:t>.</w:t>
      </w:r>
    </w:p>
    <w:p>
      <w:pPr>
        <w:spacing w:line="360" w:lineRule="auto"/>
        <w:jc w:val="both"/>
        <w:rPr>
          <w:i/>
          <w:iCs/>
        </w:rPr>
      </w:pPr>
      <w:r>
        <w:rPr>
          <w:i/>
          <w:iCs/>
        </w:rPr>
        <w:t>3. …..</w:t>
      </w:r>
    </w:p>
    <w:p>
      <w:pPr>
        <w:spacing w:line="360" w:lineRule="auto"/>
        <w:jc w:val="both"/>
        <w:rPr>
          <w:b/>
          <w:bCs/>
        </w:rPr>
      </w:pPr>
    </w:p>
    <w:p>
      <w:pPr>
        <w:spacing w:line="360" w:lineRule="auto"/>
        <w:jc w:val="center"/>
        <w:rPr>
          <w:b/>
          <w:bCs/>
        </w:rPr>
      </w:pPr>
      <w:r>
        <w:rPr>
          <w:b/>
          <w:bCs/>
        </w:rPr>
        <w:t>III.</w:t>
      </w:r>
      <w:r>
        <w:t xml:space="preserve"> </w:t>
      </w:r>
      <w:r>
        <w:rPr>
          <w:b/>
          <w:bCs/>
        </w:rPr>
        <w:t>Sídlo</w:t>
      </w:r>
    </w:p>
    <w:p>
      <w:pPr>
        <w:spacing w:line="360" w:lineRule="auto"/>
        <w:jc w:val="both"/>
        <w:rPr>
          <w:b/>
          <w:bCs/>
        </w:rPr>
      </w:pPr>
      <w:r>
        <w:t xml:space="preserve">Obcí, v níž se nachází sídlo společnosti je </w:t>
      </w:r>
      <w:r>
        <w:rPr>
          <w:b/>
          <w:bCs/>
          <w:i/>
          <w:iCs/>
        </w:rPr>
        <w:t>Praha</w:t>
      </w:r>
      <w:r>
        <w:rPr>
          <w:b/>
          <w:bCs/>
        </w:rPr>
        <w:t>.</w:t>
      </w:r>
    </w:p>
    <w:p>
      <w:pPr>
        <w:spacing w:line="360" w:lineRule="auto"/>
        <w:jc w:val="both"/>
        <w:rPr>
          <w:b/>
          <w:bCs/>
        </w:rPr>
      </w:pPr>
    </w:p>
    <w:p>
      <w:pPr>
        <w:spacing w:line="360" w:lineRule="auto"/>
        <w:jc w:val="center"/>
        <w:rPr>
          <w:b/>
          <w:bCs/>
        </w:rPr>
      </w:pPr>
      <w:r>
        <w:rPr>
          <w:b/>
          <w:bCs/>
        </w:rPr>
        <w:t>IV.</w:t>
      </w:r>
      <w:r>
        <w:t xml:space="preserve"> </w:t>
      </w:r>
      <w:r>
        <w:rPr>
          <w:b/>
          <w:bCs/>
        </w:rPr>
        <w:t>Předmět podnikání a předmět činnosti</w:t>
      </w:r>
    </w:p>
    <w:p>
      <w:pPr>
        <w:spacing w:line="360" w:lineRule="auto"/>
        <w:jc w:val="both"/>
      </w:pPr>
      <w:r>
        <w:t>1. Předmětem podnikání společnosti je:</w:t>
      </w:r>
    </w:p>
    <w:p>
      <w:pPr>
        <w:spacing w:line="360" w:lineRule="auto"/>
        <w:jc w:val="both"/>
        <w:rPr>
          <w:i/>
          <w:iCs/>
        </w:rPr>
      </w:pPr>
      <w:r>
        <w:rPr>
          <w:i/>
          <w:iCs/>
        </w:rPr>
        <w:t>Výroba, obchod a služby neuvedené v přílohách 1 až 3 živnostenského zákona, a to v rozsahu jednotlivých oborů činností živnosti volné uvedených pod čísly 1-81 přílohy číslo 4 živnostenského zákona.</w:t>
      </w:r>
    </w:p>
    <w:p>
      <w:pPr>
        <w:spacing w:line="360" w:lineRule="auto"/>
        <w:jc w:val="both"/>
        <w:rPr>
          <w:i/>
          <w:iCs/>
        </w:rPr>
      </w:pPr>
      <w:r>
        <w:rPr>
          <w:i/>
          <w:iCs/>
        </w:rPr>
        <w:t>2. Předmětem činnosti společnosti je:</w:t>
      </w:r>
    </w:p>
    <w:p>
      <w:pPr>
        <w:spacing w:line="360" w:lineRule="auto"/>
        <w:jc w:val="both"/>
        <w:rPr>
          <w:i/>
          <w:iCs/>
        </w:rPr>
      </w:pPr>
      <w:r>
        <w:rPr>
          <w:i/>
          <w:iCs/>
        </w:rPr>
        <w:t>Správa vlastního majetku.</w:t>
      </w:r>
    </w:p>
    <w:p>
      <w:pPr>
        <w:spacing w:line="360" w:lineRule="auto"/>
        <w:jc w:val="center"/>
      </w:pPr>
    </w:p>
    <w:p>
      <w:pPr>
        <w:spacing w:line="360" w:lineRule="auto"/>
        <w:jc w:val="center"/>
        <w:rPr>
          <w:b/>
          <w:bCs/>
        </w:rPr>
      </w:pPr>
      <w:r>
        <w:rPr>
          <w:b/>
          <w:bCs/>
        </w:rPr>
        <w:t>V.</w:t>
      </w:r>
      <w:r>
        <w:t xml:space="preserve"> </w:t>
      </w:r>
      <w:r>
        <w:rPr>
          <w:b/>
          <w:bCs/>
        </w:rPr>
        <w:t>Doba trvání společnosti</w:t>
      </w:r>
    </w:p>
    <w:p>
      <w:pPr>
        <w:spacing w:line="360" w:lineRule="auto"/>
        <w:jc w:val="both"/>
      </w:pPr>
      <w:r>
        <w:t>Společnost se zakládá na dobu neurčitou.</w:t>
      </w:r>
    </w:p>
    <w:p>
      <w:pPr>
        <w:spacing w:line="360" w:lineRule="auto"/>
        <w:jc w:val="center"/>
      </w:pPr>
    </w:p>
    <w:p>
      <w:pPr>
        <w:spacing w:line="360" w:lineRule="auto"/>
        <w:jc w:val="center"/>
        <w:rPr>
          <w:b/>
          <w:bCs/>
        </w:rPr>
      </w:pPr>
      <w:r>
        <w:rPr>
          <w:b/>
          <w:bCs/>
        </w:rPr>
        <w:t>VI.</w:t>
      </w:r>
      <w:r>
        <w:t xml:space="preserve"> </w:t>
      </w:r>
      <w:r>
        <w:rPr>
          <w:b/>
          <w:bCs/>
        </w:rPr>
        <w:t>Základní kapitál</w:t>
      </w:r>
    </w:p>
    <w:p>
      <w:pPr>
        <w:spacing w:line="360" w:lineRule="auto"/>
        <w:jc w:val="both"/>
      </w:pPr>
      <w:r>
        <w:t xml:space="preserve">Výše základního kapitálu činí </w:t>
      </w:r>
      <w:bookmarkStart w:id="1" w:name="_Hlk123800655"/>
      <w:r>
        <w:rPr>
          <w:i/>
          <w:iCs/>
        </w:rPr>
        <w:t>20 000 Kč</w:t>
      </w:r>
      <w:r>
        <w:t xml:space="preserve"> (slovy: </w:t>
      </w:r>
      <w:bookmarkEnd w:id="1"/>
      <w:r>
        <w:rPr>
          <w:i/>
          <w:iCs/>
        </w:rPr>
        <w:t>dvacet tisíc</w:t>
      </w:r>
      <w:r>
        <w:t xml:space="preserve"> </w:t>
      </w:r>
      <w:r>
        <w:rPr>
          <w:i/>
          <w:iCs/>
        </w:rPr>
        <w:t>korun českých</w:t>
      </w:r>
      <w:r>
        <w:t>).</w:t>
      </w:r>
    </w:p>
    <w:p>
      <w:pPr>
        <w:spacing w:line="360" w:lineRule="auto"/>
        <w:jc w:val="center"/>
      </w:pPr>
    </w:p>
    <w:p>
      <w:pPr>
        <w:spacing w:line="360" w:lineRule="auto"/>
        <w:jc w:val="center"/>
      </w:pPr>
      <w:r>
        <w:rPr>
          <w:b/>
          <w:bCs/>
        </w:rPr>
        <w:t>VII. Podíly společníků</w:t>
      </w:r>
      <w:r>
        <w:t xml:space="preserve"> </w:t>
      </w:r>
      <w:r>
        <w:rPr>
          <w:b/>
          <w:bCs/>
        </w:rPr>
        <w:t>a výše vkladů připadajících na podíly společníků</w:t>
      </w:r>
    </w:p>
    <w:p>
      <w:pPr>
        <w:spacing w:line="360" w:lineRule="auto"/>
        <w:jc w:val="both"/>
      </w:pPr>
      <w:r>
        <w:t>1. Podíly ve společnosti jsou podíly základní, se kterými nejsou spojena žádná zvláštní práva a povinnosti.</w:t>
      </w:r>
    </w:p>
    <w:p>
      <w:pPr>
        <w:spacing w:line="360" w:lineRule="auto"/>
        <w:jc w:val="both"/>
      </w:pPr>
      <w:r>
        <w:t>2. Společník může vlastnit více podílů.</w:t>
      </w:r>
    </w:p>
    <w:p>
      <w:pPr>
        <w:spacing w:line="360" w:lineRule="auto"/>
        <w:jc w:val="both"/>
      </w:pPr>
      <w:r>
        <w:t xml:space="preserve">3. Výše vkladu společníka </w:t>
      </w:r>
    </w:p>
    <w:p>
      <w:pPr>
        <w:spacing w:line="360" w:lineRule="auto"/>
        <w:ind w:left="708"/>
        <w:jc w:val="both"/>
      </w:pPr>
      <w:r>
        <w:t xml:space="preserve">a) </w:t>
      </w:r>
      <w:r>
        <w:rPr>
          <w:i/>
          <w:iCs/>
        </w:rPr>
        <w:t>Jméno Příjmení</w:t>
      </w:r>
      <w:r>
        <w:t xml:space="preserve"> připadající na jeho podíl je </w:t>
      </w:r>
      <w:r>
        <w:rPr>
          <w:i/>
          <w:iCs/>
        </w:rPr>
        <w:t>10 000 Kč</w:t>
      </w:r>
      <w:r>
        <w:t>.</w:t>
      </w:r>
    </w:p>
    <w:p>
      <w:pPr>
        <w:spacing w:line="360" w:lineRule="auto"/>
        <w:ind w:left="708"/>
        <w:jc w:val="both"/>
      </w:pPr>
      <w:r>
        <w:t xml:space="preserve">b) </w:t>
      </w:r>
      <w:r>
        <w:rPr>
          <w:i/>
          <w:iCs/>
        </w:rPr>
        <w:t>Název</w:t>
      </w:r>
      <w:r>
        <w:t xml:space="preserve"> připadající na její podíl je </w:t>
      </w:r>
      <w:r>
        <w:rPr>
          <w:i/>
          <w:iCs/>
        </w:rPr>
        <w:t>10 000 Kč</w:t>
      </w:r>
      <w:r>
        <w:t>.</w:t>
      </w:r>
    </w:p>
    <w:p>
      <w:pPr>
        <w:spacing w:line="360" w:lineRule="auto"/>
        <w:jc w:val="both"/>
      </w:pPr>
      <w:r>
        <w:t>4. Společník je oprávněn převést svůj podíl na jiného společníka pouze se souhlasem valné hromady</w:t>
      </w:r>
    </w:p>
    <w:p>
      <w:pPr>
        <w:spacing w:line="360" w:lineRule="auto"/>
        <w:jc w:val="both"/>
      </w:pPr>
      <w:r>
        <w:t>5. Společník je oprávněn převést svůj podíl nebo jeho část na třetí osoby pouze se souhlasem valné hromady.</w:t>
      </w:r>
    </w:p>
    <w:p>
      <w:pPr>
        <w:spacing w:line="360" w:lineRule="auto"/>
        <w:jc w:val="both"/>
      </w:pPr>
      <w:r>
        <w:t>6. Každý společník má předkupní právo ke všem podílům (včetně všech jejich částí) ostatních společníků.</w:t>
      </w:r>
    </w:p>
    <w:p>
      <w:pPr>
        <w:spacing w:line="360" w:lineRule="auto"/>
        <w:jc w:val="both"/>
      </w:pPr>
      <w:r>
        <w:t>7. Jestliže některý ze společníků obdrží a hodlá přijmout závaznou nabídku učiněnou v dobré víře třetí stranou k převodu podílu ve společnosti anebo k jeho části, je společník povinen ostatní společníky o svém záměru podíl převést na třetí osobu bezodkladně písemně informovat.</w:t>
      </w:r>
    </w:p>
    <w:p>
      <w:pPr>
        <w:spacing w:line="360" w:lineRule="auto"/>
        <w:jc w:val="both"/>
      </w:pPr>
      <w:r>
        <w:lastRenderedPageBreak/>
        <w:t>8. Ostatní společníci jsou oprávnění ve lhůtě 15 (slovy: patnáct) dní poté, co byli o nabídce informováni, předkupní právo využít a nabízený podíl od převádějícího společníka koupit za stejnou kupní cenu a za stejných podmínek, které byly nabídnuty zájemci.</w:t>
      </w:r>
    </w:p>
    <w:p>
      <w:pPr>
        <w:spacing w:line="360" w:lineRule="auto"/>
        <w:jc w:val="both"/>
      </w:pPr>
      <w:r>
        <w:t>9. K žádnému z podílů nejsou vydány kmenové listy.</w:t>
      </w:r>
    </w:p>
    <w:p>
      <w:pPr>
        <w:spacing w:line="360" w:lineRule="auto"/>
        <w:jc w:val="both"/>
      </w:pPr>
      <w:r>
        <w:t>10. Podíl lze rozdělit pouze v souvislosti s jeho převodem nebo přechodem. K rozdělení podílu je třeba souhlasu valné hromady. Při rozdělení podílu, vzniká-li samostatný podíl, musí být zachována minimální výše vkladu 1 Kč, (slovy: jedna koruna česká).</w:t>
      </w:r>
    </w:p>
    <w:p>
      <w:pPr>
        <w:spacing w:line="360" w:lineRule="auto"/>
        <w:jc w:val="both"/>
      </w:pPr>
      <w:r>
        <w:t>11. Dědictví podílu se v případě, že má Společnost více než jednoho společníka, zakazuje. Společníci se však zavazují uhradit osobě, která by jinak byla dědicem podílu, vypořádací podíl ve výši hodnoty podílu, který by byl touto osobou jinak zděděn.</w:t>
      </w:r>
    </w:p>
    <w:p>
      <w:pPr>
        <w:spacing w:line="360" w:lineRule="auto"/>
        <w:jc w:val="both"/>
      </w:pPr>
      <w:r>
        <w:t>12. Podíl může být předmětem zástavního práva. Zástavní smlouva musí mít písemnou formu a podpisy na ní musí být úředně ověřeny. K zastavení podílu se vyžaduje souhlas valné hromady. Bez souhlasu zástavní právo nevznikne.</w:t>
      </w:r>
    </w:p>
    <w:p>
      <w:pPr>
        <w:spacing w:line="360" w:lineRule="auto"/>
        <w:jc w:val="both"/>
      </w:pPr>
      <w:r>
        <w:t>13. Společníci se zapisují do seznamu společníků, který vede společnost. Do seznamu společníků se zapisuje jméno a bydliště nebo sídlo společníka, případně jiná společníkem určená adresa pro doručování, jeho podíl, označení podílu, jemu odpovídající výše vkladu, počet hlasů náležející k podílu, povinnost přispět na vytvoření vlastního kapitálu peněžitými prostředky nad společníkův vklad spojenou s podílem, bude-li určena, a den zápisu do seznamu společníků.</w:t>
      </w:r>
    </w:p>
    <w:p>
      <w:pPr>
        <w:spacing w:line="360" w:lineRule="auto"/>
      </w:pPr>
    </w:p>
    <w:p>
      <w:pPr>
        <w:spacing w:line="360" w:lineRule="auto"/>
        <w:jc w:val="center"/>
      </w:pPr>
      <w:r>
        <w:rPr>
          <w:b/>
          <w:bCs/>
        </w:rPr>
        <w:t>VIII. Orgány společnosti</w:t>
      </w:r>
    </w:p>
    <w:p>
      <w:pPr>
        <w:spacing w:line="360" w:lineRule="auto"/>
        <w:jc w:val="both"/>
      </w:pPr>
      <w:r>
        <w:t xml:space="preserve">1. Orgány společnosti jsou: </w:t>
      </w:r>
    </w:p>
    <w:p>
      <w:pPr>
        <w:spacing w:line="360" w:lineRule="auto"/>
        <w:ind w:left="708"/>
        <w:jc w:val="both"/>
      </w:pPr>
      <w:r>
        <w:t xml:space="preserve">a) Valná hromada. </w:t>
      </w:r>
    </w:p>
    <w:p>
      <w:pPr>
        <w:spacing w:line="360" w:lineRule="auto"/>
        <w:ind w:left="708"/>
        <w:jc w:val="both"/>
      </w:pPr>
      <w:r>
        <w:t>b) Jednatelé.</w:t>
      </w:r>
    </w:p>
    <w:p>
      <w:pPr>
        <w:spacing w:line="360" w:lineRule="auto"/>
      </w:pPr>
    </w:p>
    <w:p>
      <w:pPr>
        <w:spacing w:line="360" w:lineRule="auto"/>
        <w:jc w:val="center"/>
      </w:pPr>
      <w:r>
        <w:rPr>
          <w:b/>
          <w:bCs/>
        </w:rPr>
        <w:t>IX. Valná hromada</w:t>
      </w:r>
    </w:p>
    <w:p>
      <w:pPr>
        <w:spacing w:line="360" w:lineRule="auto"/>
        <w:jc w:val="both"/>
      </w:pPr>
      <w:r>
        <w:t>1. Nejvyšším orgánem společnosti je valná hromada.</w:t>
      </w:r>
    </w:p>
    <w:p>
      <w:pPr>
        <w:spacing w:line="360" w:lineRule="auto"/>
        <w:jc w:val="both"/>
      </w:pPr>
      <w:r>
        <w:t>2. Valná hromada přijímá rozhodnutí na základě hlasování společníků.</w:t>
      </w:r>
    </w:p>
    <w:p>
      <w:pPr>
        <w:spacing w:line="360" w:lineRule="auto"/>
        <w:jc w:val="both"/>
      </w:pPr>
      <w:r>
        <w:t>3. Valná hromada je usnášeníschopná, jsou-li přítomni společníci, kteří mají alespoň 60 % (šedesát procent) všech hlasů.</w:t>
      </w:r>
    </w:p>
    <w:p>
      <w:pPr>
        <w:spacing w:line="360" w:lineRule="auto"/>
        <w:jc w:val="both"/>
      </w:pPr>
      <w:r>
        <w:t>4. Do působnosti valné hromady náleží rozhodování o záležitostech uvedených v zákoně č. 90/2012 Sb., o obchodních společnostech a družstvech (zákon o obchodních korporacích), v platném znění (zákon o obchodních korporacích), této společenské smlouvě a jiných příslušných právních předpisech. Do působnosti valné hromady náleží dále též:</w:t>
      </w:r>
    </w:p>
    <w:p>
      <w:pPr>
        <w:spacing w:line="360" w:lineRule="auto"/>
        <w:ind w:left="708"/>
        <w:jc w:val="both"/>
      </w:pPr>
      <w:r>
        <w:t>a) rozhodování o změně obsahu společenské smlouvy, nedochází-li k ní na základě jiných právních skutečností;</w:t>
      </w:r>
    </w:p>
    <w:p>
      <w:pPr>
        <w:spacing w:line="360" w:lineRule="auto"/>
        <w:ind w:left="708"/>
        <w:jc w:val="both"/>
      </w:pPr>
      <w:r>
        <w:t>b) jmenování a odvolávání likvidátora, včetně schvalování smlouvy o výkonu funkce a poskytování plnění podle § 61 zákona o obchodních korporacích;</w:t>
      </w:r>
    </w:p>
    <w:p>
      <w:pPr>
        <w:spacing w:line="360" w:lineRule="auto"/>
        <w:ind w:firstLine="708"/>
        <w:jc w:val="both"/>
      </w:pPr>
      <w:r>
        <w:t>c) rozhodování o zrušení společnosti s likvidací;</w:t>
      </w:r>
    </w:p>
    <w:p>
      <w:pPr>
        <w:spacing w:line="360" w:lineRule="auto"/>
        <w:ind w:left="708"/>
        <w:jc w:val="both"/>
      </w:pPr>
      <w:r>
        <w:t>d) rozhodování o pachtu závodu společnosti nebo takové jeho části, k jejímuž zcizení se vyžaduje souhlas valné hromady podle zákona.</w:t>
      </w:r>
    </w:p>
    <w:p>
      <w:pPr>
        <w:spacing w:line="360" w:lineRule="auto"/>
        <w:jc w:val="both"/>
      </w:pPr>
      <w:r>
        <w:lastRenderedPageBreak/>
        <w:t>5. Valná hromada rozhoduje prostou většinou hlasů přítomných společníků, není-li zákonem nebo touto společenskou smlouvou stanoveno jinak.</w:t>
      </w:r>
    </w:p>
    <w:p>
      <w:pPr>
        <w:spacing w:line="360" w:lineRule="auto"/>
        <w:jc w:val="both"/>
      </w:pPr>
      <w:r>
        <w:t>6. Valná hromada si může vyhradit rozhodování o záležitostech, které jinak náleží do působnosti jiných orgánů společnosti.</w:t>
      </w:r>
    </w:p>
    <w:p>
      <w:pPr>
        <w:spacing w:line="360" w:lineRule="auto"/>
        <w:jc w:val="both"/>
      </w:pPr>
      <w:r>
        <w:t>7. Valnou hromadu svolává jednatel společnosti.</w:t>
      </w:r>
    </w:p>
    <w:p>
      <w:pPr>
        <w:spacing w:line="360" w:lineRule="auto"/>
        <w:jc w:val="both"/>
      </w:pPr>
      <w:r>
        <w:t>8. Valná hromada se schází pravidelně nejméně jednou za účetní období.</w:t>
      </w:r>
    </w:p>
    <w:p>
      <w:pPr>
        <w:spacing w:line="360" w:lineRule="auto"/>
        <w:jc w:val="both"/>
      </w:pPr>
      <w:r>
        <w:t>9. Má-li společnost jediného společníka, vykonává jediný společník působnost valné hromady v rozsahu uvedeném v tomto článku IX. (Valná hromada). Po dobu, kdy má společnost jediného společníka, je podíl volně převoditelný bez souhlasu valné hromady. Rozhodnutí jediného společníka bude doručeno jednateli nebo do sídla společnosti.</w:t>
      </w:r>
    </w:p>
    <w:p>
      <w:pPr>
        <w:spacing w:line="360" w:lineRule="auto"/>
      </w:pPr>
    </w:p>
    <w:p>
      <w:pPr>
        <w:spacing w:line="360" w:lineRule="auto"/>
        <w:jc w:val="center"/>
        <w:rPr>
          <w:b/>
          <w:bCs/>
        </w:rPr>
      </w:pPr>
      <w:r>
        <w:rPr>
          <w:b/>
          <w:bCs/>
        </w:rPr>
        <w:t>X. Jednatelé a způsob jednání za společnost</w:t>
      </w:r>
    </w:p>
    <w:p>
      <w:pPr>
        <w:spacing w:line="360" w:lineRule="auto"/>
        <w:jc w:val="both"/>
      </w:pPr>
      <w:r>
        <w:t>1. Společnost má dva jednatele.</w:t>
      </w:r>
    </w:p>
    <w:p>
      <w:pPr>
        <w:spacing w:line="360" w:lineRule="auto"/>
        <w:jc w:val="both"/>
      </w:pPr>
      <w:r>
        <w:t>2. Jednatelé jednají za společnost každý samostatně, s výjimkou právních jednání s plněním nad 100 000 Kč, ohledně kterých jednatelé za společnost jednají společně.</w:t>
      </w:r>
    </w:p>
    <w:p>
      <w:pPr>
        <w:spacing w:line="360" w:lineRule="auto"/>
        <w:jc w:val="both"/>
      </w:pPr>
      <w:r>
        <w:t xml:space="preserve">3. Jednatelům přísluší obchodní vedení společnosti. Můžou však požádat valnou hromadu společnosti o udělení pokynu týkajícího se obchodního vedení; tím není dotčena jejich povinnost jednat s péčí řádného hospodáře. </w:t>
      </w:r>
    </w:p>
    <w:p>
      <w:pPr>
        <w:spacing w:line="360" w:lineRule="auto"/>
        <w:jc w:val="both"/>
      </w:pPr>
      <w:r>
        <w:t xml:space="preserve">4. Jednatelé zajišťují řádné vedení předepsané evidence a účetnictví, vedení seznamu společníků a na žádost informují společníky o věcech společnosti. </w:t>
      </w:r>
    </w:p>
    <w:p>
      <w:pPr>
        <w:spacing w:line="360" w:lineRule="auto"/>
        <w:jc w:val="both"/>
      </w:pPr>
      <w:r>
        <w:t xml:space="preserve">5. Jednatelé bez zbytečného odkladu poté, co se dozví, že došlo ke změně společenské smlouvy na základě jakékoliv právní skutečnosti, vyhotoví úplné znění společenské smlouvy a uloží je spolu s listinami prokazujícími změnu do sbírky listin obchodního rejstříku. </w:t>
      </w:r>
    </w:p>
    <w:p>
      <w:pPr>
        <w:spacing w:line="360" w:lineRule="auto"/>
        <w:jc w:val="both"/>
      </w:pPr>
      <w:r>
        <w:t xml:space="preserve">6. Bez svolení všech společníků jednatelé nesmí: </w:t>
      </w:r>
    </w:p>
    <w:p>
      <w:pPr>
        <w:spacing w:line="360" w:lineRule="auto"/>
        <w:ind w:left="708"/>
        <w:jc w:val="both"/>
      </w:pPr>
      <w:r>
        <w:t xml:space="preserve">a) podnikat v předmětu činnosti nebo podnikání společnosti, a to ani ve prospěch jiných osob, ani zprostředkovávat obchody společnosti pro jiného, </w:t>
      </w:r>
    </w:p>
    <w:p>
      <w:pPr>
        <w:spacing w:line="360" w:lineRule="auto"/>
        <w:ind w:left="708"/>
        <w:jc w:val="both"/>
      </w:pPr>
      <w:r>
        <w:t>b) být členem statutárního orgánu jiné právnické osoby s obdobným předmětem činnosti nebo podnikání nebo osobou v obdobném postavení, ledaže se jedná o koncern, nebo</w:t>
      </w:r>
    </w:p>
    <w:p>
      <w:pPr>
        <w:spacing w:line="360" w:lineRule="auto"/>
        <w:ind w:left="708"/>
        <w:jc w:val="both"/>
      </w:pPr>
      <w:r>
        <w:t>c) účastnit se na podnikání jiné obchodní korporace jako společník s neomezeným ručením nebo jako ovládající osoba jiné osoby se stejným nebo obdobným předmětem činnosti nebo podnikání.</w:t>
      </w:r>
    </w:p>
    <w:p>
      <w:pPr>
        <w:spacing w:line="360" w:lineRule="auto"/>
      </w:pPr>
    </w:p>
    <w:p>
      <w:pPr>
        <w:spacing w:line="360" w:lineRule="auto"/>
        <w:jc w:val="center"/>
        <w:rPr>
          <w:b/>
          <w:bCs/>
        </w:rPr>
      </w:pPr>
      <w:r>
        <w:rPr>
          <w:b/>
          <w:bCs/>
        </w:rPr>
        <w:t>XI. Podíly společníků na zisku</w:t>
      </w:r>
    </w:p>
    <w:p>
      <w:pPr>
        <w:spacing w:line="360" w:lineRule="auto"/>
        <w:jc w:val="both"/>
      </w:pPr>
      <w:r>
        <w:t>Společníci mají nárok na podíl ze zisku, který určí valná hromada k rozdělení, v poměru velikosti svých podílů, ledaže valná hromada určí jinak.</w:t>
      </w:r>
    </w:p>
    <w:p>
      <w:pPr>
        <w:spacing w:line="360" w:lineRule="auto"/>
      </w:pPr>
    </w:p>
    <w:p>
      <w:pPr>
        <w:spacing w:line="360" w:lineRule="auto"/>
        <w:jc w:val="center"/>
        <w:rPr>
          <w:b/>
          <w:bCs/>
        </w:rPr>
      </w:pPr>
      <w:r>
        <w:rPr>
          <w:b/>
          <w:bCs/>
        </w:rPr>
        <w:t>XII. Zrušení a zánik společnosti</w:t>
      </w:r>
    </w:p>
    <w:p>
      <w:pPr>
        <w:spacing w:line="360" w:lineRule="auto"/>
        <w:jc w:val="both"/>
      </w:pPr>
      <w:r>
        <w:t>1. Zániku společnosti předcházejí její zrušení s likvidací nebo bez likvidace, přechází-li její jmění na právního nástupce nebo stanoví-li tak zákon. Společnost zaniká ke dni výmazu z obchodního rejstříku.</w:t>
      </w:r>
    </w:p>
    <w:p>
      <w:pPr>
        <w:spacing w:line="360" w:lineRule="auto"/>
        <w:jc w:val="both"/>
      </w:pPr>
      <w:r>
        <w:t>2. Společnost se zrušuje z důvodů uvedených v ustanovení § 168 a následujících zákona č. 89/2012 Sb., občanského zákoníku a ustanovení § 93 zákona o obchodních korporacích.</w:t>
      </w:r>
    </w:p>
    <w:p>
      <w:pPr>
        <w:spacing w:line="360" w:lineRule="auto"/>
        <w:jc w:val="both"/>
      </w:pPr>
      <w:r>
        <w:t>3. Společnost vstupuje do likvidace ke dni, k němuž je zrušena, nestanoví-li zákon jinak. Likvidátora volí valná hromada.</w:t>
      </w:r>
    </w:p>
    <w:p>
      <w:pPr>
        <w:spacing w:line="360" w:lineRule="auto"/>
        <w:jc w:val="both"/>
      </w:pPr>
      <w:r>
        <w:lastRenderedPageBreak/>
        <w:t>4. Při zrušení společnosti s likvidací mají společníci nárok na podíl na likvidačním zůstatku, který se může vyplatit i jinak než v penězích.</w:t>
      </w:r>
    </w:p>
    <w:p>
      <w:pPr>
        <w:spacing w:line="360" w:lineRule="auto"/>
      </w:pPr>
    </w:p>
    <w:p>
      <w:pPr>
        <w:spacing w:line="360" w:lineRule="auto"/>
        <w:jc w:val="center"/>
        <w:rPr>
          <w:b/>
          <w:bCs/>
        </w:rPr>
      </w:pPr>
      <w:r>
        <w:rPr>
          <w:b/>
          <w:bCs/>
        </w:rPr>
        <w:t>XIII. Ustanovení při zakládání společnosti</w:t>
      </w:r>
    </w:p>
    <w:p>
      <w:pPr>
        <w:spacing w:line="360" w:lineRule="auto"/>
        <w:jc w:val="both"/>
      </w:pPr>
      <w:r>
        <w:t>Právní vztahy vyplývající z této společenské smlouvy, vzájemné vztahy společníka související s jeho účastí ve společnosti i ostatní právní vztahy uvnitř společnosti se řídí ve věcech, které neupravuje tato společenská smlouva, obecně závaznými právními předpisy, zejména příslušnými ustanoveními zákona o obchodních korporacích.</w:t>
      </w:r>
    </w:p>
    <w:p>
      <w:pPr>
        <w:spacing w:line="360" w:lineRule="auto"/>
      </w:pPr>
    </w:p>
    <w:p>
      <w:pPr>
        <w:spacing w:line="360" w:lineRule="auto"/>
        <w:jc w:val="center"/>
        <w:rPr>
          <w:b/>
          <w:bCs/>
        </w:rPr>
      </w:pPr>
      <w:r>
        <w:rPr>
          <w:b/>
          <w:bCs/>
        </w:rPr>
        <w:t>XIV. Přechodná a závěrečná ustanovení</w:t>
      </w:r>
    </w:p>
    <w:p>
      <w:pPr>
        <w:spacing w:line="360" w:lineRule="auto"/>
        <w:jc w:val="both"/>
      </w:pPr>
      <w:r>
        <w:t>1. Vkladová povinnost zakladatelů:</w:t>
      </w:r>
    </w:p>
    <w:p>
      <w:pPr>
        <w:spacing w:line="360" w:lineRule="auto"/>
        <w:ind w:left="708"/>
        <w:jc w:val="both"/>
      </w:pPr>
      <w:r>
        <w:t xml:space="preserve">a) zakladatel </w:t>
      </w:r>
      <w:r>
        <w:rPr>
          <w:i/>
          <w:iCs/>
        </w:rPr>
        <w:t>Jméno Příjmení</w:t>
      </w:r>
      <w:r>
        <w:t xml:space="preserve">, narozený </w:t>
      </w:r>
      <w:r>
        <w:rPr>
          <w:i/>
          <w:iCs/>
        </w:rPr>
        <w:t>01.01.2000</w:t>
      </w:r>
      <w:r>
        <w:t xml:space="preserve">, bytem </w:t>
      </w:r>
      <w:r>
        <w:rPr>
          <w:i/>
          <w:iCs/>
        </w:rPr>
        <w:t>Ulice 123, Město,</w:t>
      </w:r>
      <w:r>
        <w:t xml:space="preserve"> přebírá vkladovou povinnost a zavazuje se ji splnit peněžitým vkladem v celkové výši </w:t>
      </w:r>
      <w:r>
        <w:rPr>
          <w:i/>
          <w:iCs/>
        </w:rPr>
        <w:t>10 000 Kč</w:t>
      </w:r>
      <w:r>
        <w:t xml:space="preserve"> do dvou týdnů ode dne přijetí této společenské smlouvy převodem na bankovní účet zřízený správcem vkladu určeného touto společenskou smlouvou; </w:t>
      </w:r>
    </w:p>
    <w:p>
      <w:pPr>
        <w:spacing w:line="360" w:lineRule="auto"/>
        <w:ind w:left="708"/>
        <w:jc w:val="both"/>
      </w:pPr>
      <w:r>
        <w:t xml:space="preserve">b) zakladatel </w:t>
      </w:r>
      <w:r>
        <w:rPr>
          <w:i/>
          <w:iCs/>
        </w:rPr>
        <w:t>Název</w:t>
      </w:r>
      <w:r>
        <w:t xml:space="preserve">, IČ: </w:t>
      </w:r>
      <w:r>
        <w:rPr>
          <w:i/>
          <w:iCs/>
        </w:rPr>
        <w:t>123456789</w:t>
      </w:r>
      <w:r>
        <w:t xml:space="preserve">, se sídlem </w:t>
      </w:r>
      <w:r>
        <w:rPr>
          <w:i/>
          <w:iCs/>
        </w:rPr>
        <w:t>Ulice 123, Město,</w:t>
      </w:r>
      <w:r>
        <w:t xml:space="preserve"> přebírá vkladovou povinnost a zavazuje se ji splnit peněžitým vkladem v celkové výši 10 000  Kč do dvou týdnů ode dne přijetí této společenské smlouvy převodem na bankovní účet zřízený správcem vkladu určeného touto společenskou smlouvou; </w:t>
      </w:r>
    </w:p>
    <w:p>
      <w:pPr>
        <w:spacing w:line="360" w:lineRule="auto"/>
        <w:jc w:val="both"/>
      </w:pPr>
      <w:r>
        <w:t xml:space="preserve">2. Zakladatelé určují první jednatele společnosti následovně: </w:t>
      </w:r>
    </w:p>
    <w:p>
      <w:pPr>
        <w:spacing w:line="360" w:lineRule="auto"/>
        <w:ind w:firstLine="708"/>
        <w:jc w:val="both"/>
      </w:pPr>
      <w:r>
        <w:t xml:space="preserve">a) </w:t>
      </w:r>
      <w:r>
        <w:rPr>
          <w:i/>
          <w:iCs/>
        </w:rPr>
        <w:t>Jméno Příjmení</w:t>
      </w:r>
      <w:r>
        <w:t xml:space="preserve">, narozený </w:t>
      </w:r>
      <w:r>
        <w:rPr>
          <w:i/>
          <w:iCs/>
        </w:rPr>
        <w:t>01.01.2000</w:t>
      </w:r>
      <w:r>
        <w:t xml:space="preserve">, bytem </w:t>
      </w:r>
      <w:r>
        <w:rPr>
          <w:i/>
          <w:iCs/>
        </w:rPr>
        <w:t>Ulice 123, Město,</w:t>
      </w:r>
    </w:p>
    <w:p>
      <w:pPr>
        <w:spacing w:line="360" w:lineRule="auto"/>
        <w:ind w:left="708"/>
        <w:jc w:val="both"/>
      </w:pPr>
      <w:r>
        <w:t xml:space="preserve">b) </w:t>
      </w:r>
      <w:r>
        <w:rPr>
          <w:i/>
          <w:iCs/>
        </w:rPr>
        <w:t>Název</w:t>
      </w:r>
      <w:r>
        <w:t xml:space="preserve">, IČ: </w:t>
      </w:r>
      <w:r>
        <w:rPr>
          <w:i/>
          <w:iCs/>
        </w:rPr>
        <w:t>123456789</w:t>
      </w:r>
      <w:r>
        <w:t xml:space="preserve">, se sídlem </w:t>
      </w:r>
      <w:r>
        <w:rPr>
          <w:i/>
          <w:iCs/>
        </w:rPr>
        <w:t>Ulice 123, Město</w:t>
      </w:r>
      <w:r>
        <w:t xml:space="preserve">, zastoupená při výkonu funkce </w:t>
      </w:r>
      <w:r>
        <w:rPr>
          <w:i/>
          <w:iCs/>
        </w:rPr>
        <w:t>Jméno Příjmení</w:t>
      </w:r>
      <w:r>
        <w:t xml:space="preserve">, narozený </w:t>
      </w:r>
      <w:r>
        <w:rPr>
          <w:i/>
          <w:iCs/>
        </w:rPr>
        <w:t>01.01.2000</w:t>
      </w:r>
      <w:r>
        <w:t xml:space="preserve">, bytem </w:t>
      </w:r>
      <w:r>
        <w:rPr>
          <w:i/>
          <w:iCs/>
        </w:rPr>
        <w:t>Ulice 123, Město</w:t>
      </w:r>
      <w:r>
        <w:rPr>
          <w:i/>
          <w:iCs/>
        </w:rPr>
        <w:t>.</w:t>
      </w:r>
    </w:p>
    <w:p>
      <w:pPr>
        <w:spacing w:line="360" w:lineRule="auto"/>
        <w:jc w:val="both"/>
      </w:pPr>
      <w:r>
        <w:t xml:space="preserve">3. Správcem vkladu je určen </w:t>
      </w:r>
      <w:r>
        <w:rPr>
          <w:i/>
          <w:iCs/>
        </w:rPr>
        <w:t>Jméno Příjmení</w:t>
      </w:r>
      <w:r>
        <w:t xml:space="preserve">, narozený </w:t>
      </w:r>
      <w:r>
        <w:rPr>
          <w:i/>
          <w:iCs/>
        </w:rPr>
        <w:t>01.01.2000</w:t>
      </w:r>
      <w:r>
        <w:t xml:space="preserve">, bytem </w:t>
      </w:r>
      <w:r>
        <w:rPr>
          <w:i/>
          <w:iCs/>
        </w:rPr>
        <w:t>Ulice 123, Město</w:t>
      </w:r>
      <w:r>
        <w:t xml:space="preserve">. </w:t>
      </w:r>
    </w:p>
    <w:p>
      <w:pPr>
        <w:spacing w:line="360" w:lineRule="auto"/>
        <w:jc w:val="both"/>
      </w:pPr>
      <w:r>
        <w:t>4. Účinnost tohoto článku 14 (Přechodná a závěrečná ustanovení) je vázána na splnění poslední z následujících rozvazovacích podmínek:</w:t>
      </w:r>
    </w:p>
    <w:p>
      <w:pPr>
        <w:spacing w:line="360" w:lineRule="auto"/>
        <w:ind w:left="708"/>
        <w:jc w:val="both"/>
      </w:pPr>
      <w:r>
        <w:t>a) vznik společnosti;</w:t>
      </w:r>
    </w:p>
    <w:p>
      <w:pPr>
        <w:spacing w:line="360" w:lineRule="auto"/>
        <w:ind w:left="708"/>
        <w:jc w:val="both"/>
      </w:pPr>
      <w:r>
        <w:t>b) úplné splnění vkladové povinnosti zakladatele.</w:t>
      </w:r>
    </w:p>
    <w:p>
      <w:pPr>
        <w:spacing w:line="360" w:lineRule="auto"/>
        <w:jc w:val="both"/>
      </w:pPr>
      <w:r>
        <w:t>Splněním poslední z uvedených rozvazovacích podmínek tento článek 14 (Přechodná a závěrečná ustanovení) zaniká.</w:t>
      </w:r>
    </w:p>
    <w:sectPr>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9C7"/>
    <w:multiLevelType w:val="hybridMultilevel"/>
    <w:tmpl w:val="46E2A782"/>
    <w:lvl w:ilvl="0" w:tplc="6720C788">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A142594"/>
    <w:multiLevelType w:val="multilevel"/>
    <w:tmpl w:val="02FE31C2"/>
    <w:lvl w:ilvl="0">
      <w:start w:val="1"/>
      <w:numFmt w:val="lowerLetter"/>
      <w:lvlText w:val="%1)"/>
      <w:lvlJc w:val="left"/>
      <w:pPr>
        <w:ind w:left="780" w:hanging="4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491079"/>
    <w:multiLevelType w:val="hybridMultilevel"/>
    <w:tmpl w:val="100AB46A"/>
    <w:lvl w:ilvl="0" w:tplc="015443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BE37BBD"/>
    <w:multiLevelType w:val="hybridMultilevel"/>
    <w:tmpl w:val="A5C6136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E96353"/>
    <w:multiLevelType w:val="hybridMultilevel"/>
    <w:tmpl w:val="50A4F38A"/>
    <w:lvl w:ilvl="0" w:tplc="63C6234E">
      <w:start w:val="1"/>
      <w:numFmt w:val="lowerLetter"/>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BC6BBC"/>
    <w:multiLevelType w:val="hybridMultilevel"/>
    <w:tmpl w:val="4F9C8C7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A10D7E"/>
    <w:multiLevelType w:val="multilevel"/>
    <w:tmpl w:val="513E4E0C"/>
    <w:lvl w:ilvl="0">
      <w:start w:val="1"/>
      <w:numFmt w:val="lowerLetter"/>
      <w:lvlText w:val="%1)"/>
      <w:lvlJc w:val="left"/>
      <w:pPr>
        <w:ind w:left="780" w:hanging="42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A447E"/>
    <w:multiLevelType w:val="multilevel"/>
    <w:tmpl w:val="AF24AF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304314"/>
    <w:multiLevelType w:val="multilevel"/>
    <w:tmpl w:val="8E861ED2"/>
    <w:lvl w:ilvl="0">
      <w:start w:val="1"/>
      <w:numFmt w:val="lowerLetter"/>
      <w:lvlText w:val="%1)"/>
      <w:lvlJc w:val="left"/>
      <w:pPr>
        <w:ind w:left="780" w:hanging="4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D4B39"/>
    <w:multiLevelType w:val="hybridMultilevel"/>
    <w:tmpl w:val="E4541E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C867304"/>
    <w:multiLevelType w:val="multilevel"/>
    <w:tmpl w:val="5F28F1D2"/>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2578541">
    <w:abstractNumId w:val="4"/>
  </w:num>
  <w:num w:numId="2" w16cid:durableId="51464333">
    <w:abstractNumId w:val="3"/>
  </w:num>
  <w:num w:numId="3" w16cid:durableId="162207706">
    <w:abstractNumId w:val="5"/>
  </w:num>
  <w:num w:numId="4" w16cid:durableId="1253321187">
    <w:abstractNumId w:val="8"/>
  </w:num>
  <w:num w:numId="5" w16cid:durableId="750128850">
    <w:abstractNumId w:val="7"/>
  </w:num>
  <w:num w:numId="6" w16cid:durableId="1197084215">
    <w:abstractNumId w:val="6"/>
  </w:num>
  <w:num w:numId="7" w16cid:durableId="149173005">
    <w:abstractNumId w:val="1"/>
  </w:num>
  <w:num w:numId="8" w16cid:durableId="363555985">
    <w:abstractNumId w:val="10"/>
  </w:num>
  <w:num w:numId="9" w16cid:durableId="108814491">
    <w:abstractNumId w:val="10"/>
    <w:lvlOverride w:ilvl="0">
      <w:startOverride w:val="1"/>
    </w:lvlOverride>
  </w:num>
  <w:num w:numId="10" w16cid:durableId="2135520368">
    <w:abstractNumId w:val="9"/>
  </w:num>
  <w:num w:numId="11" w16cid:durableId="728654181">
    <w:abstractNumId w:val="0"/>
  </w:num>
  <w:num w:numId="12" w16cid:durableId="58295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Calibri Light" w:hAnsi="Calibri Light"/>
      <w:b/>
      <w:bCs/>
      <w:kern w:val="32"/>
      <w:sz w:val="32"/>
      <w:szCs w:val="32"/>
    </w:rPr>
  </w:style>
  <w:style w:type="paragraph" w:styleId="Nadpis4">
    <w:name w:val="heading 4"/>
    <w:basedOn w:val="Normln"/>
    <w:next w:val="Normln"/>
    <w:link w:val="Nadpis4Char"/>
    <w:semiHidden/>
    <w:unhideWhenUsed/>
    <w:qFormat/>
    <w:pPr>
      <w:keepNext/>
      <w:spacing w:before="240" w:after="60"/>
      <w:outlineLvl w:val="3"/>
    </w:pPr>
    <w:rPr>
      <w:rFonts w:ascii="Calibri" w:hAnsi="Calibri"/>
      <w:b/>
      <w:bCs/>
      <w:sz w:val="28"/>
      <w:szCs w:val="28"/>
    </w:rPr>
  </w:style>
  <w:style w:type="paragraph" w:styleId="Nadpis6">
    <w:name w:val="heading 6"/>
    <w:basedOn w:val="Normln"/>
    <w:next w:val="Normln"/>
    <w:link w:val="Nadpis6Char"/>
    <w:unhideWhenUsed/>
    <w:qFormat/>
    <w:pPr>
      <w:spacing w:before="240" w:after="60"/>
      <w:outlineLvl w:val="5"/>
    </w:pPr>
    <w:rPr>
      <w:rFonts w:ascii="Calibri" w:hAnsi="Calibri"/>
      <w:b/>
      <w:bCs/>
      <w:sz w:val="22"/>
      <w:szCs w:val="22"/>
    </w:rPr>
  </w:style>
  <w:style w:type="paragraph" w:styleId="Nadpis8">
    <w:name w:val="heading 8"/>
    <w:basedOn w:val="Normln"/>
    <w:next w:val="Normln"/>
    <w:link w:val="Nadpis8Char"/>
    <w:qFormat/>
    <w:pPr>
      <w:keepNext/>
      <w:spacing w:before="120"/>
      <w:jc w:val="center"/>
      <w:outlineLvl w:val="7"/>
    </w:pPr>
    <w:rPr>
      <w:b/>
      <w:bCs/>
      <w:i/>
      <w:iCs/>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pPr>
      <w:spacing w:before="120"/>
      <w:jc w:val="both"/>
    </w:pPr>
    <w:rPr>
      <w:snapToGrid w:val="0"/>
      <w:sz w:val="24"/>
      <w:lang w:val="x-none" w:eastAsia="x-none"/>
    </w:rPr>
  </w:style>
  <w:style w:type="paragraph" w:styleId="Prosttext">
    <w:name w:val="Plain Text"/>
    <w:basedOn w:val="Normln"/>
    <w:link w:val="ProsttextChar"/>
    <w:rPr>
      <w:rFonts w:ascii="Courier New" w:hAnsi="Courier New"/>
      <w:lang w:val="x-none" w:eastAsia="x-none"/>
    </w:rPr>
  </w:style>
  <w:style w:type="character" w:customStyle="1" w:styleId="ProsttextChar">
    <w:name w:val="Prostý text Char"/>
    <w:link w:val="Prosttext"/>
    <w:rPr>
      <w:rFonts w:ascii="Courier New" w:hAnsi="Courier New"/>
      <w:lang w:val="x-none" w:eastAsia="x-none" w:bidi="ar-SA"/>
    </w:rPr>
  </w:style>
  <w:style w:type="character" w:customStyle="1" w:styleId="ZkladntextChar">
    <w:name w:val="Základní text Char"/>
    <w:aliases w:val="b Char"/>
    <w:link w:val="Zkladntext"/>
    <w:rPr>
      <w:snapToGrid w:val="0"/>
      <w:sz w:val="24"/>
      <w:lang w:val="x-none" w:eastAsia="x-none" w:bidi="ar-SA"/>
    </w:rPr>
  </w:style>
  <w:style w:type="paragraph" w:customStyle="1" w:styleId="Podnadpis1">
    <w:name w:val="Podnadpis1"/>
    <w:pPr>
      <w:widowControl w:val="0"/>
      <w:spacing w:before="73" w:after="73" w:line="209" w:lineRule="atLeast"/>
      <w:jc w:val="center"/>
    </w:pPr>
    <w:rPr>
      <w:b/>
      <w:snapToGrid w:val="0"/>
      <w:color w:val="000000"/>
      <w:sz w:val="28"/>
    </w:rPr>
  </w:style>
  <w:style w:type="paragraph" w:styleId="Bezmezer">
    <w:name w:val="No Spacing"/>
    <w:basedOn w:val="Normln"/>
    <w:qFormat/>
    <w:rPr>
      <w:rFonts w:ascii="Calibri" w:hAnsi="Calibri"/>
      <w:sz w:val="22"/>
      <w:szCs w:val="22"/>
    </w:rPr>
  </w:style>
  <w:style w:type="paragraph" w:customStyle="1" w:styleId="Textbody">
    <w:name w:val="Text body"/>
    <w:basedOn w:val="Normln"/>
    <w:pPr>
      <w:widowControl w:val="0"/>
      <w:suppressAutoHyphens/>
      <w:autoSpaceDN w:val="0"/>
      <w:spacing w:after="120"/>
      <w:textAlignment w:val="baseline"/>
    </w:pPr>
    <w:rPr>
      <w:rFonts w:eastAsia="Andale Sans UI" w:cs="Tahoma"/>
      <w:kern w:val="3"/>
      <w:sz w:val="24"/>
      <w:szCs w:val="24"/>
      <w:lang w:val="de-DE" w:eastAsia="ja-JP" w:bidi="fa-IR"/>
    </w:rPr>
  </w:style>
  <w:style w:type="character" w:customStyle="1" w:styleId="Nadpis1Char">
    <w:name w:val="Nadpis 1 Char"/>
    <w:link w:val="Nadpis1"/>
    <w:rPr>
      <w:rFonts w:ascii="Calibri Light" w:eastAsia="Times New Roman" w:hAnsi="Calibri Light" w:cs="Times New Roman"/>
      <w:b/>
      <w:bCs/>
      <w:kern w:val="32"/>
      <w:sz w:val="32"/>
      <w:szCs w:val="32"/>
    </w:rPr>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character" w:customStyle="1" w:styleId="Nadpis4Char">
    <w:name w:val="Nadpis 4 Char"/>
    <w:link w:val="Nadpis4"/>
    <w:semiHidden/>
    <w:rPr>
      <w:rFonts w:ascii="Calibri" w:eastAsia="Times New Roman" w:hAnsi="Calibri" w:cs="Times New Roman"/>
      <w:b/>
      <w:bCs/>
      <w:sz w:val="28"/>
      <w:szCs w:val="28"/>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rPr>
  </w:style>
  <w:style w:type="paragraph" w:styleId="Zkladntext2">
    <w:name w:val="Body Text 2"/>
    <w:basedOn w:val="Normln"/>
    <w:link w:val="Zkladntext2Char"/>
    <w:pPr>
      <w:spacing w:after="120" w:line="480" w:lineRule="auto"/>
    </w:pPr>
  </w:style>
  <w:style w:type="character" w:customStyle="1" w:styleId="Zkladntext2Char">
    <w:name w:val="Základní text 2 Char"/>
    <w:basedOn w:val="Standardnpsmoodstavce"/>
    <w:link w:val="Zkladntext2"/>
  </w:style>
  <w:style w:type="numbering" w:customStyle="1" w:styleId="WW8Num1">
    <w:name w:val="WW8Num1"/>
    <w:basedOn w:val="Bezseznamu"/>
    <w:pPr>
      <w:numPr>
        <w:numId w:val="8"/>
      </w:numPr>
    </w:pPr>
  </w:style>
  <w:style w:type="character" w:customStyle="1" w:styleId="Nadpis6Char">
    <w:name w:val="Nadpis 6 Char"/>
    <w:link w:val="Nadpis6"/>
    <w:rPr>
      <w:rFonts w:ascii="Calibri" w:eastAsia="Times New Roman" w:hAnsi="Calibri" w:cs="Times New Roman"/>
      <w:b/>
      <w:bCs/>
      <w:sz w:val="22"/>
      <w:szCs w:val="22"/>
    </w:rPr>
  </w:style>
  <w:style w:type="paragraph" w:styleId="Zkladntext3">
    <w:name w:val="Body Text 3"/>
    <w:basedOn w:val="Normln"/>
    <w:link w:val="Zkladntext3Char"/>
    <w:pPr>
      <w:spacing w:after="120"/>
    </w:pPr>
    <w:rPr>
      <w:sz w:val="16"/>
      <w:szCs w:val="16"/>
    </w:rPr>
  </w:style>
  <w:style w:type="character" w:customStyle="1" w:styleId="Zkladntext3Char">
    <w:name w:val="Základní text 3 Char"/>
    <w:link w:val="Zkladntext3"/>
    <w:rPr>
      <w:sz w:val="16"/>
      <w:szCs w:val="16"/>
    </w:rPr>
  </w:style>
  <w:style w:type="paragraph" w:customStyle="1" w:styleId="Textbodyindent">
    <w:name w:val="Text body indent"/>
    <w:basedOn w:val="Standard"/>
    <w:pPr>
      <w:ind w:left="708" w:hanging="708"/>
      <w:jc w:val="both"/>
    </w:pPr>
    <w:rPr>
      <w:rFonts w:ascii="Bookman Old Style" w:hAnsi="Bookman Old Style"/>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style>
  <w:style w:type="character" w:customStyle="1" w:styleId="Nadpis8Char">
    <w:name w:val="Nadpis 8 Char"/>
    <w:basedOn w:val="Standardnpsmoodstavce"/>
    <w:link w:val="Nadpis8"/>
    <w:rPr>
      <w:b/>
      <w:bCs/>
      <w:i/>
      <w:iCs/>
      <w:snapToGrid w:val="0"/>
      <w:sz w:val="28"/>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semiHidden/>
    <w:unhideWhenUsed/>
  </w:style>
  <w:style w:type="character" w:customStyle="1" w:styleId="TextkomenteChar">
    <w:name w:val="Text komentáře Char"/>
    <w:basedOn w:val="Standardnpsmoodstavce"/>
    <w:link w:val="Textkomente"/>
    <w:semiHidden/>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basedOn w:val="TextkomenteChar"/>
    <w:link w:val="Pedmtkomente"/>
    <w:semiHidden/>
    <w:rPr>
      <w:b/>
      <w:bCs/>
    </w:rPr>
  </w:style>
  <w:style w:type="paragraph" w:styleId="Revize">
    <w:name w:val="Revision"/>
    <w:hidden/>
    <w:uiPriority w:val="99"/>
    <w:semiHidden/>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009">
      <w:bodyDiv w:val="1"/>
      <w:marLeft w:val="0"/>
      <w:marRight w:val="0"/>
      <w:marTop w:val="0"/>
      <w:marBottom w:val="0"/>
      <w:divBdr>
        <w:top w:val="none" w:sz="0" w:space="0" w:color="auto"/>
        <w:left w:val="none" w:sz="0" w:space="0" w:color="auto"/>
        <w:bottom w:val="none" w:sz="0" w:space="0" w:color="auto"/>
        <w:right w:val="none" w:sz="0" w:space="0" w:color="auto"/>
      </w:divBdr>
    </w:div>
    <w:div w:id="375854759">
      <w:bodyDiv w:val="1"/>
      <w:marLeft w:val="0"/>
      <w:marRight w:val="0"/>
      <w:marTop w:val="0"/>
      <w:marBottom w:val="0"/>
      <w:divBdr>
        <w:top w:val="none" w:sz="0" w:space="0" w:color="auto"/>
        <w:left w:val="none" w:sz="0" w:space="0" w:color="auto"/>
        <w:bottom w:val="none" w:sz="0" w:space="0" w:color="auto"/>
        <w:right w:val="none" w:sz="0" w:space="0" w:color="auto"/>
      </w:divBdr>
      <w:divsChild>
        <w:div w:id="303042792">
          <w:marLeft w:val="0"/>
          <w:marRight w:val="0"/>
          <w:marTop w:val="0"/>
          <w:marBottom w:val="0"/>
          <w:divBdr>
            <w:top w:val="none" w:sz="0" w:space="0" w:color="auto"/>
            <w:left w:val="none" w:sz="0" w:space="0" w:color="auto"/>
            <w:bottom w:val="none" w:sz="0" w:space="0" w:color="auto"/>
            <w:right w:val="none" w:sz="0" w:space="0" w:color="auto"/>
          </w:divBdr>
          <w:divsChild>
            <w:div w:id="1575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3806">
      <w:bodyDiv w:val="1"/>
      <w:marLeft w:val="0"/>
      <w:marRight w:val="0"/>
      <w:marTop w:val="0"/>
      <w:marBottom w:val="0"/>
      <w:divBdr>
        <w:top w:val="none" w:sz="0" w:space="0" w:color="auto"/>
        <w:left w:val="none" w:sz="0" w:space="0" w:color="auto"/>
        <w:bottom w:val="none" w:sz="0" w:space="0" w:color="auto"/>
        <w:right w:val="none" w:sz="0" w:space="0" w:color="auto"/>
      </w:divBdr>
    </w:div>
    <w:div w:id="465010549">
      <w:bodyDiv w:val="1"/>
      <w:marLeft w:val="0"/>
      <w:marRight w:val="0"/>
      <w:marTop w:val="0"/>
      <w:marBottom w:val="0"/>
      <w:divBdr>
        <w:top w:val="none" w:sz="0" w:space="0" w:color="auto"/>
        <w:left w:val="none" w:sz="0" w:space="0" w:color="auto"/>
        <w:bottom w:val="none" w:sz="0" w:space="0" w:color="auto"/>
        <w:right w:val="none" w:sz="0" w:space="0" w:color="auto"/>
      </w:divBdr>
    </w:div>
    <w:div w:id="576937847">
      <w:bodyDiv w:val="1"/>
      <w:marLeft w:val="0"/>
      <w:marRight w:val="0"/>
      <w:marTop w:val="0"/>
      <w:marBottom w:val="0"/>
      <w:divBdr>
        <w:top w:val="none" w:sz="0" w:space="0" w:color="auto"/>
        <w:left w:val="none" w:sz="0" w:space="0" w:color="auto"/>
        <w:bottom w:val="none" w:sz="0" w:space="0" w:color="auto"/>
        <w:right w:val="none" w:sz="0" w:space="0" w:color="auto"/>
      </w:divBdr>
    </w:div>
    <w:div w:id="584070142">
      <w:bodyDiv w:val="1"/>
      <w:marLeft w:val="0"/>
      <w:marRight w:val="0"/>
      <w:marTop w:val="0"/>
      <w:marBottom w:val="0"/>
      <w:divBdr>
        <w:top w:val="none" w:sz="0" w:space="0" w:color="auto"/>
        <w:left w:val="none" w:sz="0" w:space="0" w:color="auto"/>
        <w:bottom w:val="none" w:sz="0" w:space="0" w:color="auto"/>
        <w:right w:val="none" w:sz="0" w:space="0" w:color="auto"/>
      </w:divBdr>
    </w:div>
    <w:div w:id="790245303">
      <w:bodyDiv w:val="1"/>
      <w:marLeft w:val="0"/>
      <w:marRight w:val="0"/>
      <w:marTop w:val="0"/>
      <w:marBottom w:val="0"/>
      <w:divBdr>
        <w:top w:val="none" w:sz="0" w:space="0" w:color="auto"/>
        <w:left w:val="none" w:sz="0" w:space="0" w:color="auto"/>
        <w:bottom w:val="none" w:sz="0" w:space="0" w:color="auto"/>
        <w:right w:val="none" w:sz="0" w:space="0" w:color="auto"/>
      </w:divBdr>
    </w:div>
    <w:div w:id="1054351598">
      <w:bodyDiv w:val="1"/>
      <w:marLeft w:val="0"/>
      <w:marRight w:val="0"/>
      <w:marTop w:val="0"/>
      <w:marBottom w:val="0"/>
      <w:divBdr>
        <w:top w:val="none" w:sz="0" w:space="0" w:color="auto"/>
        <w:left w:val="none" w:sz="0" w:space="0" w:color="auto"/>
        <w:bottom w:val="none" w:sz="0" w:space="0" w:color="auto"/>
        <w:right w:val="none" w:sz="0" w:space="0" w:color="auto"/>
      </w:divBdr>
    </w:div>
    <w:div w:id="1141121131">
      <w:bodyDiv w:val="1"/>
      <w:marLeft w:val="0"/>
      <w:marRight w:val="0"/>
      <w:marTop w:val="0"/>
      <w:marBottom w:val="0"/>
      <w:divBdr>
        <w:top w:val="none" w:sz="0" w:space="0" w:color="auto"/>
        <w:left w:val="none" w:sz="0" w:space="0" w:color="auto"/>
        <w:bottom w:val="none" w:sz="0" w:space="0" w:color="auto"/>
        <w:right w:val="none" w:sz="0" w:space="0" w:color="auto"/>
      </w:divBdr>
    </w:div>
    <w:div w:id="1348554559">
      <w:bodyDiv w:val="1"/>
      <w:marLeft w:val="0"/>
      <w:marRight w:val="0"/>
      <w:marTop w:val="0"/>
      <w:marBottom w:val="0"/>
      <w:divBdr>
        <w:top w:val="none" w:sz="0" w:space="0" w:color="auto"/>
        <w:left w:val="none" w:sz="0" w:space="0" w:color="auto"/>
        <w:bottom w:val="none" w:sz="0" w:space="0" w:color="auto"/>
        <w:right w:val="none" w:sz="0" w:space="0" w:color="auto"/>
      </w:divBdr>
    </w:div>
    <w:div w:id="1875456953">
      <w:bodyDiv w:val="1"/>
      <w:marLeft w:val="0"/>
      <w:marRight w:val="0"/>
      <w:marTop w:val="0"/>
      <w:marBottom w:val="0"/>
      <w:divBdr>
        <w:top w:val="none" w:sz="0" w:space="0" w:color="auto"/>
        <w:left w:val="none" w:sz="0" w:space="0" w:color="auto"/>
        <w:bottom w:val="none" w:sz="0" w:space="0" w:color="auto"/>
        <w:right w:val="none" w:sz="0" w:space="0" w:color="auto"/>
      </w:divBdr>
    </w:div>
    <w:div w:id="19408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B77-525A-4C08-B1F5-D90BBCE5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7812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2023-01-23T17:58:00Z</dcterms:created>
  <dcterms:modified xsi:type="dcterms:W3CDTF">2023-01-23T17:58:00Z</dcterms:modified>
</cp:coreProperties>
</file>